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#KontoJakChcesz. Ja mam,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trwającej na przełomie czerwca i lipca akcji, banki spółdzielcze z Brodnicy, Oleśnicy i Poznania proponowały nowym klientom założenie kont na korzystnych warunkach wraz z dostępem do nowoczesnego systemu bankowości internetowej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#KontoJakChcesz?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korzystamy z bankowości internetowej przez komputer, bankowości mobilnej przez telefon, czy tablet, użytkowanie poszczególnych funkcji jest tak samo proste i intuicyjne. Do dyspozycji klienta udostępniana jest szeroka paleta mini-aplikacji pozwalających na łatwą i szybką personalizację indywidualnych wymagań użytkownika. Wystarczy kilka kliknięć, żeby je dodać, a kolejność wyświetlania ich na ekranie można dostosować wg. własnych potrzeb i upodobań. To rewolucyjne rozwiązanie tego typu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zaletach, korzyściach, usprawnieniach, a także o związanym z akcją konkursie, opowiadali w mediach społecznościowych ambasadorzy akcji - młoda businesswoman Anna Maria Kabona, prowadzący własną działalność gospodarczą Karol Stówka oraz najmłodszy z ambasadorów, student Adam Słoik.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dotarła łącznie do ponad 552 000 unikalnych odbiorców, z pośród których największą grupę stanowili użytkownicy urządzeń mobilnych w wieku 18-24 lat, a przygotowane na jej potrzeby animacje opowiadające o ambasadorach oraz zaletach założenia konta obejrzano w mediach społecznościowych ponad 25 000 razy. Artykuł opisujący akcję pojawił się również na znanym i wysoko ocenianym blogu Metafinanse.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trwającym podczas akcji konkursie wykorzystującym platformę grywalizacyjną Huntly wzięło udział ponad 250 graczy z trzech regionów, którzy odpowiadając na pytania z wiedzy ogólnej, lokalnej oraz bankowej walczyli o 3 nagrody specjalne jakimi były telefony Apple iPhone 6. Ponadto na uczestników akcji w oddziałach banków czekały również unikalne gadżety - bransoletki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Bohaterowie akcji: Maria, Karol i Adam korzystają z #KontoJakChcesz w swoich bankach spółdzielczych dzięki innowacyjnej bankowości internetowej Asseco CBP – </w:t>
      </w:r>
      <w:r>
        <w:rPr>
          <w:rFonts w:ascii="calibri" w:hAnsi="calibri" w:eastAsia="calibri" w:cs="calibri"/>
          <w:sz w:val="24"/>
          <w:szCs w:val="24"/>
        </w:rPr>
        <w:t xml:space="preserve">wyjaśnia Andrzej Nowakowski, Asseco Poland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Miło nam, że nasze rozwiązania informatyczne wspierają banki w dostarczaniu klientom usług bankowych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pokazała tysiącom odbiorców, że banki spółdzielcze oferują korzystne i nowoczesne rozwiązania, niczym nie ustępując bankom komercyjnym.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www.kontojakchcesz.pl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2026-04-10T11:11:35+02:00</dcterms:created>
  <dcterms:modified xsi:type="dcterms:W3CDTF">2026-04-10T11:11:35+02:00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